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pict>
          <v:shape id="_x0000_i1025" style="width:45.1pt;height:58.55pt" o:ole="" type="#_x0000_t75">
            <v:imagedata r:id="rId1" o:title=""/>
          </v:shape>
          <o:OLEObject DrawAspect="Content" r:id="rId2" ObjectID="_1736931587" ProgID="CorelDraw.Graphic.9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МУНИЦИПАЛЬНОЕ ОБРАЗОВАНИЕ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ГОРОД ОКРУЖНОГО ЗНАЧЕНИЯ НИЖНЕВАРТОВСК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МУНИЦИПАЛЬНОЕ БЮДЖЕТНОЕ ОБЩЕОБРАЗОВАТЕЛЬНОЕ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УЧРЕЖДЕНИЕ «ЛИЦЕЙ»</w:t>
      </w:r>
    </w:p>
    <w:p w:rsidR="00000000" w:rsidDel="00000000" w:rsidP="00000000" w:rsidRDefault="00000000" w:rsidRPr="00000000" w14:paraId="00000007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ул. Дзержинского, 17 «а», г. Нижневартовск, Ханты-Мансийский автономный округ - Югра, 628615</w:t>
      </w:r>
    </w:p>
    <w:p w:rsidR="00000000" w:rsidDel="00000000" w:rsidP="00000000" w:rsidRDefault="00000000" w:rsidRPr="00000000" w14:paraId="00000008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Телефоны: 43-25-88тел./факс: (3466) 43-25-88, электронная почта: licei-nv@yandex.ru</w:t>
      </w:r>
    </w:p>
    <w:p w:rsidR="00000000" w:rsidDel="00000000" w:rsidP="00000000" w:rsidRDefault="00000000" w:rsidRPr="00000000" w14:paraId="00000009">
      <w:pPr>
        <w:pBdr>
          <w:top w:color="000000" w:space="1" w:sz="24" w:val="single"/>
        </w:pBdr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03.02.2023г.  № </w:t>
      </w:r>
    </w:p>
    <w:p w:rsidR="00000000" w:rsidDel="00000000" w:rsidP="00000000" w:rsidRDefault="00000000" w:rsidRPr="00000000" w14:paraId="0000000B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                                           </w:t>
        <w:tab/>
        <w:tab/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Руководителю </w:t>
      </w:r>
    </w:p>
    <w:p w:rsidR="00000000" w:rsidDel="00000000" w:rsidP="00000000" w:rsidRDefault="00000000" w:rsidRPr="00000000" w14:paraId="0000000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образовательной  организации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Уважаемый руководитель!</w:t>
      </w:r>
    </w:p>
    <w:p w:rsidR="00000000" w:rsidDel="00000000" w:rsidP="00000000" w:rsidRDefault="00000000" w:rsidRPr="00000000" w14:paraId="00000011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основании приказа департамента образования администрации города Нижневартовска «Об утверждении состава форсайт-центров, муниципальных методических объединений на 2022-2023 учебный год» </w:t>
        <w:br w:type="textWrapping"/>
        <w:t xml:space="preserve">от 18.08.2022 №525, в соответствии с Программой деятельности </w:t>
        <w:br w:type="textWrapping"/>
        <w:t xml:space="preserve">форсайт-центра «Цифровая трансформация образования» (далее – форсайт-центр») на 2022-2023 учебный год с 06.02.2023 по 20.03.2023 проводится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сетевой проект «Цифровая трансформация образования: методические решения – 2023» (приложение).</w:t>
      </w:r>
    </w:p>
    <w:p w:rsidR="00000000" w:rsidDel="00000000" w:rsidP="00000000" w:rsidRDefault="00000000" w:rsidRPr="00000000" w14:paraId="00000013">
      <w:pPr>
        <w:ind w:firstLine="709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Приглашаем образовательные организации города,</w:t>
      </w:r>
      <w:r w:rsidDel="00000000" w:rsidR="00000000" w:rsidRPr="00000000">
        <w:rPr>
          <w:sz w:val="28"/>
          <w:szCs w:val="28"/>
          <w:rtl w:val="0"/>
        </w:rPr>
        <w:t xml:space="preserve"> подведомственные департаменту образования администрации города Нижневартовска,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принять участие в сетевом проекте по </w:t>
      </w:r>
      <w:r w:rsidDel="00000000" w:rsidR="00000000" w:rsidRPr="00000000">
        <w:rPr>
          <w:sz w:val="28"/>
          <w:szCs w:val="28"/>
          <w:rtl w:val="0"/>
        </w:rPr>
        <w:t xml:space="preserve">следующим направлениям: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«Практическое занятие: Мой электронный дневник» – сценарий проведения практического занятия для ознакомления обучающихся с возможностями электронных сервисов для обучающихся;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«Классный час: электронные услуги для обучающихся» – сценарий проведения классного часа по темам «Электронный дневник», «Безопасный интернет», «Авторизация в электронном дневнике через ЕПГУ» и др.;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«Родительское собрание: электронные услуги для родителей» – сценарий проведения родительского собрания с целью ознакомления родительской общественности с образовательной деятельностью учащихся с использованием возможностей ЕПГУ и цифровых образовательных платформ. </w:t>
      </w:r>
    </w:p>
    <w:p w:rsidR="00000000" w:rsidDel="00000000" w:rsidP="00000000" w:rsidRDefault="00000000" w:rsidRPr="00000000" w14:paraId="00000017">
      <w:pPr>
        <w:tabs>
          <w:tab w:val="left" w:leader="none" w:pos="2055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Прием заявок осуществляется до 21.02.2023 на адрес электронной почты: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licei-nv@yandex.ru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(с пометкой «Заявка ЦТО-2023»)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8">
      <w:pPr>
        <w:tabs>
          <w:tab w:val="left" w:leader="none" w:pos="205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Приложение: Порядок проведения сетевого проекта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«Цифровая трансформация образования: методические решения – 2023»</w:t>
      </w:r>
      <w:r w:rsidDel="00000000" w:rsidR="00000000" w:rsidRPr="00000000">
        <w:rPr>
          <w:sz w:val="28"/>
          <w:szCs w:val="28"/>
          <w:rtl w:val="0"/>
        </w:rPr>
        <w:t xml:space="preserve"> 8 л. в 1 экз.</w:t>
      </w:r>
    </w:p>
    <w:p w:rsidR="00000000" w:rsidDel="00000000" w:rsidP="00000000" w:rsidRDefault="00000000" w:rsidRPr="00000000" w14:paraId="0000001A">
      <w:pPr>
        <w:ind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 Порядком проведения сетевого проекта также можно ознакомиться на сайте МБОУ «Лицей» в разделе Форсайт-центр «Цифровая трансформация образования» (ссылка -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https://liczejliczejnizhnevartovsk-r86.gosweb.gosuslugi.ru/pedagogam-i-sotrudnikam/forsayt-tsentr-tsifrovaya-transformatsiya-obrazovaniya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B">
      <w:pPr>
        <w:shd w:fill="ffffff" w:val="clear"/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.И. Морозенко</w:t>
      </w:r>
    </w:p>
    <w:p w:rsidR="00000000" w:rsidDel="00000000" w:rsidP="00000000" w:rsidRDefault="00000000" w:rsidRPr="00000000" w14:paraId="00000020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Исполнитель:</w:t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Заместитель директора по УВР</w:t>
      </w:r>
    </w:p>
    <w:p w:rsidR="00000000" w:rsidDel="00000000" w:rsidP="00000000" w:rsidRDefault="00000000" w:rsidRPr="00000000" w14:paraId="0000005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Брагина Л.Н., </w:t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тел.: 8 (3466) 43-25-88</w:t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right"/>
        <w:rPr/>
      </w:pPr>
      <w:r w:rsidDel="00000000" w:rsidR="00000000" w:rsidRPr="00000000">
        <w:rPr>
          <w:rtl w:val="0"/>
        </w:rPr>
        <w:t xml:space="preserve">Приложение </w:t>
      </w:r>
    </w:p>
    <w:p w:rsidR="00000000" w:rsidDel="00000000" w:rsidP="00000000" w:rsidRDefault="00000000" w:rsidRPr="00000000" w14:paraId="0000005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Порядок проведения сетевого проекта</w:t>
      </w:r>
    </w:p>
    <w:p w:rsidR="00000000" w:rsidDel="00000000" w:rsidP="00000000" w:rsidRDefault="00000000" w:rsidRPr="00000000" w14:paraId="0000005E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«Цифровая трансформация образования: методические решения – 2023»</w:t>
      </w:r>
    </w:p>
    <w:p w:rsidR="00000000" w:rsidDel="00000000" w:rsidP="00000000" w:rsidRDefault="00000000" w:rsidRPr="00000000" w14:paraId="0000005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2490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61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Порядок определяет цель, задачи, категорию участников сетевого проекта «Цифровая трансформация образования: методические решения – 2023»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– сетевого проекта), функции, права и обязанности организационного комитета и участников сетевого проекта, сроки и условия проведения, требования к методическим решениям, порядок подведения итогов сетевого проекта.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Сетевой проект проводится в рамках работы форсайт-центра «Цифровая трансформация образования» на 2022-2023 учебный год.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Организацию и проведение сетевого проекта осуществляет муниципальное бюджетное общеобразовательное учреждение «Лицей».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Координацию организации и проведения сетевого проекта осуществляет муниципальное автономное учреждение города Нижневартовска «Центр развития образования».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Информационное сопровождение сетевого проекта осуществляется </w:t>
        <w:br w:type="textWrapping"/>
        <w:t xml:space="preserve">на сайте муниципального бюджетного общеобразовательного учреждения «Лицей»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https://lyseum-nv.gosuslugi.ru/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в разделе «Форсайт-центр».</w:t>
      </w:r>
    </w:p>
    <w:p w:rsidR="00000000" w:rsidDel="00000000" w:rsidP="00000000" w:rsidRDefault="00000000" w:rsidRPr="00000000" w14:paraId="00000067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II. Цели и задачи сетевого проекта</w:t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– обеспечение эффективной информационной поддержки участников образовательных отношений в рамках организации образовательного процесса в условиях внедрения цифровой трансформации образования.</w:t>
      </w:r>
    </w:p>
    <w:bookmarkStart w:colFirst="0" w:colLast="0" w:name="30j0zll" w:id="1"/>
    <w:bookmarkEnd w:id="1"/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сетевого проекта: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выявить и распространить опыт по проведению мероприятий, направленных на увеличение значений показателей цифровой трансформации образования между образовательными организациями города Нижневартовска;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сформировать банк методических решений для реализации комплекса мероприятий по увеличению значений показателей цифровой трансформации образования.</w:t>
      </w:r>
    </w:p>
    <w:p w:rsidR="00000000" w:rsidDel="00000000" w:rsidP="00000000" w:rsidRDefault="00000000" w:rsidRPr="00000000" w14:paraId="0000006E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Участники сетевого проекта</w:t>
      </w:r>
    </w:p>
    <w:p w:rsidR="00000000" w:rsidDel="00000000" w:rsidP="00000000" w:rsidRDefault="00000000" w:rsidRPr="00000000" w14:paraId="00000070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сетевого проекта – руководящие и педагогические работники общеобразовательных организаций, подведомственных департаменту образования администрации города Нижневартовска (далее – участники).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сетевом проекте индивидуальное.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участников от одной образовательной организации </w:t>
        <w:br w:type="textWrapping"/>
        <w:t xml:space="preserve">не более 1 человека в каждом направлении.</w:t>
      </w:r>
    </w:p>
    <w:p w:rsidR="00000000" w:rsidDel="00000000" w:rsidP="00000000" w:rsidRDefault="00000000" w:rsidRPr="00000000" w14:paraId="00000074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tabs>
          <w:tab w:val="left" w:leader="none" w:pos="567"/>
        </w:tabs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IV. Организатор сетевого проекта</w:t>
      </w:r>
    </w:p>
    <w:p w:rsidR="00000000" w:rsidDel="00000000" w:rsidP="00000000" w:rsidRDefault="00000000" w:rsidRPr="00000000" w14:paraId="00000076">
      <w:pPr>
        <w:shd w:fill="ffffff" w:val="clear"/>
        <w:tabs>
          <w:tab w:val="left" w:leader="none" w:pos="567"/>
        </w:tabs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Организатором сетевого проекта является муниципальное бюджетное общеобразовательное учреждение «Лицей» (далее – организатор).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Функции организатора: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своевременно информирует участников о предстоящем сетевом проекте;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консультирует участников по вопросам проведения сетевого проекта;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организует прием заявок и методических решений;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организует работу проведения экспертизы методических решений;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готовит протокол проведения экспертизы методических решений;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итогам экспертизы методических решений осуществляет их публикацию на странице сетевого проекта;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организует награждение участников сетевого проекта электронными сертификатами.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сетевого проекта имеет право: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отклонить заявку на участие в сетевом проекте при несоблюдении требований п. 5.4. настоящего Порядка и нарушении сроков подачи заявки;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выбрать форму проведения сетевого проекта.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 сетевого проекта обязан: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обеспечивать гласность проведения сетевого проекта;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 настоящий Порядок.</w:t>
      </w:r>
    </w:p>
    <w:p w:rsidR="00000000" w:rsidDel="00000000" w:rsidP="00000000" w:rsidRDefault="00000000" w:rsidRPr="00000000" w14:paraId="00000086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V. Сроки и порядок проведения сетевого проекта</w:t>
      </w:r>
    </w:p>
    <w:p w:rsidR="00000000" w:rsidDel="00000000" w:rsidP="00000000" w:rsidRDefault="00000000" w:rsidRPr="00000000" w14:paraId="0000008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Сетевой проект проводится в период с 06.02.2023 по 20.03.2023 в 3 этапа: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6"/>
        <w:gridCol w:w="2510"/>
        <w:gridCol w:w="5154"/>
        <w:tblGridChange w:id="0">
          <w:tblGrid>
            <w:gridCol w:w="1906"/>
            <w:gridCol w:w="2510"/>
            <w:gridCol w:w="515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Сроки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Этапы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3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 этапов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06.02.2023-22.02.2023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подготовительный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6"/>
              </w:numPr>
              <w:ind w:left="36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 21.02.2023 участники создают методическое решение и направляют заявку на участие в сетевом проекте (приложение 1, 2, 3);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6"/>
              </w:numPr>
              <w:ind w:left="36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 22.02.2023 организатор конкурса проводит техническую экспертизу заполнения заявки на участие в сетевом проекте (приложение 1, 2, 3)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27.02.2023-10.03.2023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основной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leader="none" w:pos="459"/>
              </w:tabs>
              <w:ind w:left="3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организатор сетевого проекта: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6"/>
              </w:numPr>
              <w:ind w:left="36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организует работу проведения экспертизы методических решений;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6"/>
              </w:numPr>
              <w:ind w:left="36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подводит итоги проведения экспертизы методических решений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13.03.2023-20.03.2023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заключительный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leader="none" w:pos="459"/>
              </w:tabs>
              <w:ind w:left="3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организатор сетевого проекта: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6"/>
              </w:numPr>
              <w:ind w:left="36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осуществляет публикацию методических решений на странице сетевого проекта;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6"/>
              </w:numPr>
              <w:ind w:left="36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организует награждение участников сетевого проекта электронными сертификатами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Сетевой проект проводится по следующим направлениям: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«Практическое занятие: Мой электронный дневник» – сценарий проведения практического занятия для ознакомления обучающихся с возможностями электронных сервисов для обучающихся;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«Классный час: электронные услуги для обучающихся» – сценарий проведения классного часа по темам «Электронный дневник», «Безопасный интернет», «Авторизация в электронном дневнике через ЕПГУ» и др.;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«Родительское собрание: электронные услуги для родителей» – сценарий проведения родительского собрания с целью ознакомления родительской общественности с образовательной деятельностью учащихся с использованием возможностей ЕПГУ и цифровых образовательных платформ.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участия в сетевом проекте образовательная организация направляет в оргкомитет на электронный адрес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licei-nv@yandex.ru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(с пометкой «Заявка ЦТО-2023») следующий пакет документов: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участие в сетевом проекте (приложение 1);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на обработку и передачу третьим лицам персональных данных педагога образовательной организации (приложение 2).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методическое решение (приложение 3).</w:t>
      </w:r>
    </w:p>
    <w:p w:rsidR="00000000" w:rsidDel="00000000" w:rsidP="00000000" w:rsidRDefault="00000000" w:rsidRPr="00000000" w14:paraId="000000A5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Пакет документов участника проходит техническую экспертизу, которую проводит оргкомитет: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наличие документов в соответствии с п. 5.3 настоящего Порядка;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соответствие методического решения заявленному направлению.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итогам технической экспертизы пакета документов оргкомитет формирует списки участников сетевого проекта и передает их экспертной группе.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Сетевой проект проводится в заочной форме.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для проведения экспертизы методических решений приведены п.7.1. настоящего Порядка.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о публикации методических решений принимает экспертная группа.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Представленные в сетевом проекте методические решения </w:t>
        <w:br w:type="textWrapping"/>
        <w:t xml:space="preserve">не рецензируются.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сетевого проекта несет ответственность и гарантирует, что методические решения не нарушает авторские права и/или иные права и законные интересы третьих лиц. Участник сетевого проекта самостоятельно несет имущественную ответственность за нарушение авторских прав согласно действующему законодательству Российской Федерации.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сетевом проекте добровольное.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сетевом проекте означает согласие со всеми условиями, изложенными в настоящем Порядке.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4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Итоги сетевого проекта размещаются на сайте МБОУ «Лицей» (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https://lyseum-nv.gosuslugi.ru/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в разделе «Форсайт-центр».</w:t>
      </w:r>
    </w:p>
    <w:p w:rsidR="00000000" w:rsidDel="00000000" w:rsidP="00000000" w:rsidRDefault="00000000" w:rsidRPr="00000000" w14:paraId="000000B2">
      <w:pPr>
        <w:shd w:fill="ffffff" w:val="clear"/>
        <w:tabs>
          <w:tab w:val="left" w:leader="none" w:pos="56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VI. Экспертная группа</w:t>
      </w:r>
    </w:p>
    <w:p w:rsidR="00000000" w:rsidDel="00000000" w:rsidP="00000000" w:rsidRDefault="00000000" w:rsidRPr="00000000" w14:paraId="000000B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1"/>
          <w:numId w:val="8"/>
        </w:numPr>
        <w:shd w:fill="ffffff" w:val="clear"/>
        <w:tabs>
          <w:tab w:val="left" w:leader="none" w:pos="0"/>
          <w:tab w:val="left" w:leader="none" w:pos="1276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Экспертная группа является коллегиальным органом, действующим на общественных началах.</w:t>
      </w:r>
    </w:p>
    <w:p w:rsidR="00000000" w:rsidDel="00000000" w:rsidP="00000000" w:rsidRDefault="00000000" w:rsidRPr="00000000" w14:paraId="000000B6">
      <w:pPr>
        <w:numPr>
          <w:ilvl w:val="1"/>
          <w:numId w:val="8"/>
        </w:numPr>
        <w:shd w:fill="ffffff" w:val="clear"/>
        <w:tabs>
          <w:tab w:val="left" w:leader="none" w:pos="0"/>
          <w:tab w:val="left" w:leader="none" w:pos="1276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В состав экспертной группы входят руководящие и педагогические работники образовательных организаций, подведомственных департаменту образования администрации города Нижневартовска.</w:t>
      </w:r>
    </w:p>
    <w:p w:rsidR="00000000" w:rsidDel="00000000" w:rsidP="00000000" w:rsidRDefault="00000000" w:rsidRPr="00000000" w14:paraId="000000B7">
      <w:pPr>
        <w:numPr>
          <w:ilvl w:val="1"/>
          <w:numId w:val="8"/>
        </w:numPr>
        <w:shd w:fill="ffffff" w:val="clear"/>
        <w:tabs>
          <w:tab w:val="left" w:leader="none" w:pos="0"/>
          <w:tab w:val="left" w:leader="none" w:pos="1276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Участник сетевого проекта не может входить в состав экспертной группы.</w:t>
      </w:r>
    </w:p>
    <w:p w:rsidR="00000000" w:rsidDel="00000000" w:rsidP="00000000" w:rsidRDefault="00000000" w:rsidRPr="00000000" w14:paraId="000000B8">
      <w:pPr>
        <w:numPr>
          <w:ilvl w:val="1"/>
          <w:numId w:val="8"/>
        </w:numPr>
        <w:shd w:fill="ffffff" w:val="clear"/>
        <w:tabs>
          <w:tab w:val="left" w:leader="none" w:pos="0"/>
          <w:tab w:val="left" w:leader="none" w:pos="1276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Руководит работой экспертной группы организатор сетевого проекта.</w:t>
      </w:r>
    </w:p>
    <w:p w:rsidR="00000000" w:rsidDel="00000000" w:rsidP="00000000" w:rsidRDefault="00000000" w:rsidRPr="00000000" w14:paraId="000000B9">
      <w:pPr>
        <w:numPr>
          <w:ilvl w:val="1"/>
          <w:numId w:val="8"/>
        </w:numPr>
        <w:shd w:fill="ffffff" w:val="clear"/>
        <w:tabs>
          <w:tab w:val="left" w:leader="none" w:pos="0"/>
          <w:tab w:val="left" w:leader="none" w:pos="1276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Решения экспертной группы, принимаются на основании экспертных листов.</w:t>
      </w:r>
    </w:p>
    <w:p w:rsidR="00000000" w:rsidDel="00000000" w:rsidP="00000000" w:rsidRDefault="00000000" w:rsidRPr="00000000" w14:paraId="000000BA">
      <w:pPr>
        <w:numPr>
          <w:ilvl w:val="1"/>
          <w:numId w:val="8"/>
        </w:numPr>
        <w:shd w:fill="ffffff" w:val="clear"/>
        <w:tabs>
          <w:tab w:val="left" w:leader="none" w:pos="0"/>
          <w:tab w:val="left" w:leader="none" w:pos="1276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Функции экспертной группы: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 экспертизу методических решений в соответствии </w:t>
        <w:br w:type="textWrapping"/>
        <w:t xml:space="preserve">с критериями в соответствии с п.7.1. настоящего Порядка;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отклоняет методическое решение, если оно не соответствует тематике сетевого проекта;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принимает решение о публикации методических решений.</w:t>
      </w:r>
    </w:p>
    <w:p w:rsidR="00000000" w:rsidDel="00000000" w:rsidP="00000000" w:rsidRDefault="00000000" w:rsidRPr="00000000" w14:paraId="000000BE">
      <w:pPr>
        <w:numPr>
          <w:ilvl w:val="1"/>
          <w:numId w:val="8"/>
        </w:numPr>
        <w:shd w:fill="ffffff" w:val="clear"/>
        <w:tabs>
          <w:tab w:val="left" w:leader="none" w:pos="0"/>
          <w:tab w:val="left" w:leader="none" w:pos="1276"/>
        </w:tabs>
        <w:ind w:left="0" w:firstLine="709"/>
        <w:jc w:val="both"/>
        <w:rPr/>
      </w:pPr>
      <w:r w:rsidDel="00000000" w:rsidR="00000000" w:rsidRPr="00000000">
        <w:rPr>
          <w:rtl w:val="0"/>
        </w:rPr>
        <w:t xml:space="preserve">Обязанности членов экспертной группы: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соблюдают настоящий Порядок;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добросовестно исполняют возложенные на экспертную группу функции.</w:t>
      </w:r>
    </w:p>
    <w:p w:rsidR="00000000" w:rsidDel="00000000" w:rsidP="00000000" w:rsidRDefault="00000000" w:rsidRPr="00000000" w14:paraId="000000C1">
      <w:pPr>
        <w:tabs>
          <w:tab w:val="left" w:leader="none" w:pos="1276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VII. Критерии проведения экспертизы</w:t>
      </w:r>
    </w:p>
    <w:p w:rsidR="00000000" w:rsidDel="00000000" w:rsidP="00000000" w:rsidRDefault="00000000" w:rsidRPr="00000000" w14:paraId="000000C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60" w:before="0" w:line="240" w:lineRule="auto"/>
        <w:ind w:left="0" w:right="0" w:firstLine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проведения экспертизы:</w:t>
      </w:r>
    </w:p>
    <w:tbl>
      <w:tblPr>
        <w:tblStyle w:val="Table2"/>
        <w:tblW w:w="95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5"/>
        <w:gridCol w:w="2450"/>
        <w:gridCol w:w="4609"/>
        <w:gridCol w:w="1876"/>
        <w:tblGridChange w:id="0">
          <w:tblGrid>
            <w:gridCol w:w="635"/>
            <w:gridCol w:w="2450"/>
            <w:gridCol w:w="4609"/>
            <w:gridCol w:w="187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Критерий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Показатель критерия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Баллы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leader="none" w:pos="422"/>
                <w:tab w:val="right" w:leader="none" w:pos="93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Титульный лист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организации;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тема;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автора;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 автора;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город;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tabs>
                <w:tab w:val="left" w:leader="none" w:pos="422"/>
                <w:tab w:val="right" w:leader="none" w:pos="93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наличие содержания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tabs>
                <w:tab w:val="left" w:leader="none" w:pos="422"/>
                <w:tab w:val="right" w:leader="none" w:pos="93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Пояснительная записка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определена целевая аудитория;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определена цель;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определены задачи;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наличие краткого описания ожидаемого результата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0-3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tabs>
                <w:tab w:val="left" w:leader="none" w:pos="422"/>
                <w:tab w:val="right" w:leader="none" w:pos="93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Основная часть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соответствует поставленной цели;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соответствует поставленным задачам;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содержит четкие рекомендации о том, </w:t>
              <w:br w:type="textWrapping"/>
              <w:t xml:space="preserve">что и как нужно делать;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наличие советов по решению организационных вопросов;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определены трудные моменты в организации и проведении описываемого вида деятельности, определены типичные ошибки.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0-7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tabs>
                <w:tab w:val="left" w:leader="none" w:pos="422"/>
                <w:tab w:val="right" w:leader="none" w:pos="93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Заключение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определены перспектив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leader="none" w:pos="422"/>
                <w:tab w:val="right" w:leader="none" w:pos="93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Список использованных источников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наличие списка использованных источников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leader="none" w:pos="422"/>
                <w:tab w:val="right" w:leader="none" w:pos="9355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Приложения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пронумерованы;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2"/>
                <w:tab w:val="right" w:leader="none" w:pos="9355"/>
              </w:tabs>
              <w:spacing w:after="0" w:before="0" w:line="240" w:lineRule="auto"/>
              <w:ind w:left="3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оформлены на отдельных листах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0-1</w:t>
            </w:r>
          </w:p>
        </w:tc>
      </w:tr>
    </w:tbl>
    <w:p w:rsidR="00000000" w:rsidDel="00000000" w:rsidP="00000000" w:rsidRDefault="00000000" w:rsidRPr="00000000" w14:paraId="000000F3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60" w:before="0" w:line="240" w:lineRule="auto"/>
        <w:ind w:left="0" w:right="0" w:firstLine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Максимальное количество баллов по результатам экспертизы составляет 15 баллов.</w:t>
      </w:r>
    </w:p>
    <w:p w:rsidR="00000000" w:rsidDel="00000000" w:rsidP="00000000" w:rsidRDefault="00000000" w:rsidRPr="00000000" w14:paraId="000000F5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VIII. Подведение итогов</w:t>
      </w:r>
    </w:p>
    <w:p w:rsidR="00000000" w:rsidDel="00000000" w:rsidP="00000000" w:rsidRDefault="00000000" w:rsidRPr="00000000" w14:paraId="000000F7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60" w:before="0" w:line="240" w:lineRule="auto"/>
        <w:ind w:left="0" w:right="0" w:firstLine="71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решения, набравшие 60% и более от максимального количества баллов, публикуются на сайте МБОУ «Лицей» (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https://lyseum-nv.gosuslugi.ru/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в разделе «форсайт-центр».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6"/>
        </w:tabs>
        <w:spacing w:after="60" w:before="0" w:line="240" w:lineRule="auto"/>
        <w:ind w:left="0" w:right="0" w:firstLine="71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сетевого проекта, набравшие 9 (60%) баллов и более от максимального количества баллов, получают электронный сертификат участника сетевого проекта.</w:t>
      </w:r>
    </w:p>
    <w:p w:rsidR="00000000" w:rsidDel="00000000" w:rsidP="00000000" w:rsidRDefault="00000000" w:rsidRPr="00000000" w14:paraId="000000FA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leader="none" w:pos="2490"/>
        </w:tabs>
        <w:jc w:val="right"/>
        <w:rPr/>
      </w:pPr>
      <w:r w:rsidDel="00000000" w:rsidR="00000000" w:rsidRPr="00000000">
        <w:rPr>
          <w:rtl w:val="0"/>
        </w:rPr>
        <w:t xml:space="preserve">Приложение 1</w:t>
      </w:r>
    </w:p>
    <w:p w:rsidR="00000000" w:rsidDel="00000000" w:rsidP="00000000" w:rsidRDefault="00000000" w:rsidRPr="00000000" w14:paraId="000000FD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leader="none" w:pos="2490"/>
        </w:tabs>
        <w:jc w:val="center"/>
        <w:rPr/>
      </w:pPr>
      <w:r w:rsidDel="00000000" w:rsidR="00000000" w:rsidRPr="00000000">
        <w:rPr>
          <w:rtl w:val="0"/>
        </w:rPr>
        <w:t xml:space="preserve">Заявка на участие в сетевом проекте </w:t>
        <w:br w:type="textWrapping"/>
        <w:t xml:space="preserve">«Цифровая трансформация образования: методические решения – 2023»</w:t>
      </w:r>
    </w:p>
    <w:p w:rsidR="00000000" w:rsidDel="00000000" w:rsidP="00000000" w:rsidRDefault="00000000" w:rsidRPr="00000000" w14:paraId="000000FF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2276"/>
        <w:gridCol w:w="1426"/>
        <w:gridCol w:w="1826"/>
        <w:gridCol w:w="1790"/>
        <w:gridCol w:w="1788"/>
        <w:tblGridChange w:id="0">
          <w:tblGrid>
            <w:gridCol w:w="464"/>
            <w:gridCol w:w="2276"/>
            <w:gridCol w:w="1426"/>
            <w:gridCol w:w="1826"/>
            <w:gridCol w:w="1790"/>
            <w:gridCol w:w="178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Название номинации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Наименование образовательной организации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ФИО участника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Должность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Контактный телефон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«Практическое занятие: Мой электронный дневник»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«Классный час: электронные услуги для обучающихся»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«Родительское собрание: электронные услуги для родителей»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leader="none" w:pos="2490"/>
        </w:tabs>
        <w:jc w:val="right"/>
        <w:rPr/>
      </w:pPr>
      <w:r w:rsidDel="00000000" w:rsidR="00000000" w:rsidRPr="00000000">
        <w:rPr>
          <w:rtl w:val="0"/>
        </w:rPr>
        <w:t xml:space="preserve">Приложение 2</w:t>
      </w:r>
    </w:p>
    <w:p w:rsidR="00000000" w:rsidDel="00000000" w:rsidP="00000000" w:rsidRDefault="00000000" w:rsidRPr="00000000" w14:paraId="0000011B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Согласие</w:t>
      </w:r>
    </w:p>
    <w:p w:rsidR="00000000" w:rsidDel="00000000" w:rsidP="00000000" w:rsidRDefault="00000000" w:rsidRPr="00000000" w14:paraId="0000011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 обработку и передачу третьим лицам персональных данных </w:t>
      </w:r>
    </w:p>
    <w:p w:rsidR="00000000" w:rsidDel="00000000" w:rsidP="00000000" w:rsidRDefault="00000000" w:rsidRPr="00000000" w14:paraId="0000011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участника сетевого проекта «Цифровая трансформация образования: методические решения – 2023»</w:t>
      </w:r>
    </w:p>
    <w:p w:rsidR="00000000" w:rsidDel="00000000" w:rsidP="00000000" w:rsidRDefault="00000000" w:rsidRPr="00000000" w14:paraId="000001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Я, _________________________________________________________________________,(ФИО) проживающий по адресу:_______________________________________________________________________</w:t>
      </w:r>
    </w:p>
    <w:p w:rsidR="00000000" w:rsidDel="00000000" w:rsidP="00000000" w:rsidRDefault="00000000" w:rsidRPr="00000000" w14:paraId="00000121">
      <w:pPr>
        <w:pBdr>
          <w:bottom w:color="000000" w:space="1" w:sz="6" w:val="single"/>
        </w:pBd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паспорт серия ______________ № _______________, выдан (кем и когда) </w:t>
        <w:br w:type="textWrapping"/>
      </w:r>
    </w:p>
    <w:p w:rsidR="00000000" w:rsidDel="00000000" w:rsidP="00000000" w:rsidRDefault="00000000" w:rsidRPr="00000000" w14:paraId="0000012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соответствии с Федеральным законом от 27.07.2006 N 152-ФЗ «О персональных данных» выражаю согласие муниципальному бюджетному образовательному учреждению «Лицей» (далее – организатор), расположенному по адресу: г. Нижневартовск, ул. Дзержинского, 17 «а» (ОГРН 1028600967614) на обработку моих персональных данных: фамилия, имя, отчество; должность; наименование образовательной организации; телефон; электронная почта; адрес проживания; паспортные данные (серия, номер, дата выдачи, кем и когда выдан).</w:t>
      </w:r>
    </w:p>
    <w:p w:rsidR="00000000" w:rsidDel="00000000" w:rsidP="00000000" w:rsidRDefault="00000000" w:rsidRPr="00000000" w14:paraId="000001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 даю согласие на использование вышеперечисленных персональных данных исключительно в следующих целях: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формирования банка данных участников сетевого проекта;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публикации списков участников сетевого проекта в общедоступных источниках средств массовой информации, включая информационно-телекоммуникационную сеть «Интернет», на портале системы образования г. Нижневартовска (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https://edu-nv.ru/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и официальном сайте муниципального бюджетного образовательного учреждения «Лицей» (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https://lyseum-nv.gosuslugi.ru/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использования в печатных презентационных материалах;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ведения статистики.</w:t>
      </w:r>
    </w:p>
    <w:p w:rsidR="00000000" w:rsidDel="00000000" w:rsidP="00000000" w:rsidRDefault="00000000" w:rsidRPr="00000000" w14:paraId="0000012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Дата: ___.___.______ г. : ________________     (_____________________________________________)</w:t>
      </w:r>
    </w:p>
    <w:p w:rsidR="00000000" w:rsidDel="00000000" w:rsidP="00000000" w:rsidRDefault="00000000" w:rsidRPr="00000000" w14:paraId="000001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 даю согласие на передачу и обработку третьим лицам, в том числе средствами информационно-телекоммуникационной сети «Интернет», а именно департаменту образования администрации города Нижневартовска, своих персональных данных для достижения вышеперечисленных целей.</w:t>
      </w:r>
    </w:p>
    <w:p w:rsidR="00000000" w:rsidDel="00000000" w:rsidP="00000000" w:rsidRDefault="00000000" w:rsidRPr="00000000" w14:paraId="0000012F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Настоящее согласие предоставляется на осуществление лицами, допущенными к обработке,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 </w:t>
      </w:r>
    </w:p>
    <w:p w:rsidR="00000000" w:rsidDel="00000000" w:rsidP="00000000" w:rsidRDefault="00000000" w:rsidRPr="00000000" w14:paraId="00000130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 даю согласие на обработку своих персональных данных как автоматизированным, так и неавтоматизированным способом.</w:t>
      </w:r>
    </w:p>
    <w:p w:rsidR="00000000" w:rsidDel="00000000" w:rsidP="00000000" w:rsidRDefault="00000000" w:rsidRPr="00000000" w14:paraId="00000131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Настоящее согласие действует 5 лет или до отзыва настоящего согласия. Настоящее согласие может быть отозвано в любой момент по моему письменному заявлению.</w:t>
      </w:r>
    </w:p>
    <w:p w:rsidR="00000000" w:rsidDel="00000000" w:rsidP="00000000" w:rsidRDefault="00000000" w:rsidRPr="00000000" w14:paraId="00000132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Об ответственности за достоверность представленных сведений предупрежден(а).</w:t>
      </w:r>
    </w:p>
    <w:p w:rsidR="00000000" w:rsidDel="00000000" w:rsidP="00000000" w:rsidRDefault="00000000" w:rsidRPr="00000000" w14:paraId="00000133">
      <w:pPr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 подтверждаю, что, давая настоящее согласие, я действую по своей воле и в своих интересах.</w:t>
      </w:r>
    </w:p>
    <w:p w:rsidR="00000000" w:rsidDel="00000000" w:rsidP="00000000" w:rsidRDefault="00000000" w:rsidRPr="00000000" w14:paraId="000001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Дата: ___.___.______ г. : ________________     (_____________________________________________)</w:t>
      </w:r>
    </w:p>
    <w:p w:rsidR="00000000" w:rsidDel="00000000" w:rsidP="00000000" w:rsidRDefault="00000000" w:rsidRPr="00000000" w14:paraId="00000137">
      <w:pPr>
        <w:tabs>
          <w:tab w:val="left" w:leader="none" w:pos="2977"/>
          <w:tab w:val="left" w:leader="none" w:pos="5954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(подпись)</w:t>
        <w:tab/>
        <w:t xml:space="preserve">(фамилия, имя, отчество)</w:t>
      </w:r>
    </w:p>
    <w:p w:rsidR="00000000" w:rsidDel="00000000" w:rsidP="00000000" w:rsidRDefault="00000000" w:rsidRPr="00000000" w14:paraId="00000138">
      <w:pPr>
        <w:tabs>
          <w:tab w:val="left" w:leader="none" w:pos="249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leader="none" w:pos="249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tabs>
          <w:tab w:val="left" w:leader="none" w:pos="2490"/>
        </w:tabs>
        <w:jc w:val="right"/>
        <w:rPr/>
      </w:pPr>
      <w:r w:rsidDel="00000000" w:rsidR="00000000" w:rsidRPr="00000000">
        <w:rPr>
          <w:rtl w:val="0"/>
        </w:rPr>
        <w:t xml:space="preserve">Приложение 3</w:t>
      </w:r>
    </w:p>
    <w:p w:rsidR="00000000" w:rsidDel="00000000" w:rsidP="00000000" w:rsidRDefault="00000000" w:rsidRPr="00000000" w14:paraId="0000013C">
      <w:pPr>
        <w:tabs>
          <w:tab w:val="left" w:leader="none" w:pos="24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tabs>
          <w:tab w:val="left" w:leader="none" w:pos="2490"/>
        </w:tabs>
        <w:jc w:val="center"/>
        <w:rPr/>
      </w:pPr>
      <w:r w:rsidDel="00000000" w:rsidR="00000000" w:rsidRPr="00000000">
        <w:rPr>
          <w:rtl w:val="0"/>
        </w:rPr>
        <w:t xml:space="preserve">Требования к оформлению методического решения для</w:t>
        <w:br w:type="textWrapping"/>
        <w:t xml:space="preserve">сетевого проекта «Цифровая трансформация образования: методические решения – 2023»</w:t>
      </w:r>
    </w:p>
    <w:p w:rsidR="00000000" w:rsidDel="00000000" w:rsidP="00000000" w:rsidRDefault="00000000" w:rsidRPr="00000000" w14:paraId="0000013E">
      <w:pPr>
        <w:tabs>
          <w:tab w:val="left" w:leader="none" w:pos="249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leader="none" w:pos="2490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Сетевой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проект</w:t>
      </w:r>
      <w:r w:rsidDel="00000000" w:rsidR="00000000" w:rsidRPr="00000000">
        <w:rPr>
          <w:rtl w:val="0"/>
        </w:rPr>
        <w:t xml:space="preserve"> – совместная деятельность партнеров, участников проекта, организованная на основе компьютерной телекоммуникации, направленная на достижение совместного результата.</w:t>
      </w:r>
    </w:p>
    <w:p w:rsidR="00000000" w:rsidDel="00000000" w:rsidP="00000000" w:rsidRDefault="00000000" w:rsidRPr="00000000" w14:paraId="00000140">
      <w:pPr>
        <w:tabs>
          <w:tab w:val="left" w:leader="none" w:pos="2490"/>
        </w:tabs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leader="none" w:pos="2490"/>
        </w:tabs>
        <w:ind w:firstLine="709"/>
        <w:jc w:val="both"/>
        <w:rPr/>
      </w:pPr>
      <w:r w:rsidDel="00000000" w:rsidR="00000000" w:rsidRPr="00000000">
        <w:rPr>
          <w:b w:val="1"/>
          <w:rtl w:val="0"/>
        </w:rPr>
        <w:t xml:space="preserve">Методическое решение</w:t>
      </w:r>
      <w:r w:rsidDel="00000000" w:rsidR="00000000" w:rsidRPr="00000000">
        <w:rPr>
          <w:rtl w:val="0"/>
        </w:rPr>
        <w:t xml:space="preserve"> – это решение, которое прямо или косвенно влияет на создание или улучшение обучения. Методическое решение в связке с научным подходом помогает создавать решения, которые делают обучение эффективным.</w:t>
      </w:r>
    </w:p>
    <w:p w:rsidR="00000000" w:rsidDel="00000000" w:rsidP="00000000" w:rsidRDefault="00000000" w:rsidRPr="00000000" w14:paraId="00000142">
      <w:pPr>
        <w:tabs>
          <w:tab w:val="left" w:leader="none" w:pos="2490"/>
        </w:tabs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left" w:leader="none" w:pos="2490"/>
        </w:tabs>
        <w:jc w:val="center"/>
        <w:rPr/>
      </w:pPr>
      <w:r w:rsidDel="00000000" w:rsidR="00000000" w:rsidRPr="00000000">
        <w:rPr>
          <w:rtl w:val="0"/>
        </w:rPr>
        <w:t xml:space="preserve">Требования к структуре методического решения</w:t>
      </w:r>
    </w:p>
    <w:p w:rsidR="00000000" w:rsidDel="00000000" w:rsidP="00000000" w:rsidRDefault="00000000" w:rsidRPr="00000000" w14:paraId="00000144">
      <w:pPr>
        <w:tabs>
          <w:tab w:val="left" w:leader="none" w:pos="2490"/>
        </w:tabs>
        <w:ind w:firstLine="709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2694"/>
        <w:gridCol w:w="6201"/>
        <w:tblGridChange w:id="0">
          <w:tblGrid>
            <w:gridCol w:w="675"/>
            <w:gridCol w:w="2694"/>
            <w:gridCol w:w="62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tabs>
                <w:tab w:val="left" w:leader="none" w:pos="249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leader="none" w:pos="249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Структурный элемент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tabs>
                <w:tab w:val="left" w:leader="none" w:pos="249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Описание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9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leader="none" w:pos="2490"/>
              </w:tabs>
              <w:rPr/>
            </w:pPr>
            <w:r w:rsidDel="00000000" w:rsidR="00000000" w:rsidRPr="00000000">
              <w:rPr>
                <w:rtl w:val="0"/>
              </w:rPr>
              <w:t xml:space="preserve">Титульный лист</w:t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leader="none" w:pos="24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Методическое решение начинается с титульного листа, на котором размещаются: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6"/>
              </w:numPr>
              <w:tabs>
                <w:tab w:val="left" w:leader="none" w:pos="2490"/>
              </w:tabs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 организации – выравнивание по центру, шрифт обычный, размер 14 пт.;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16"/>
              </w:numPr>
              <w:tabs>
                <w:tab w:val="left" w:leader="none" w:pos="2490"/>
              </w:tabs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– выравнивание по центру, шрифт полужирный, размер 16 пт.;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16"/>
              </w:numPr>
              <w:tabs>
                <w:tab w:val="left" w:leader="none" w:pos="2490"/>
              </w:tabs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ФИО, должность автора – выравнивание по правому краю, шрифт обычный, размер 14 пт.;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16"/>
              </w:numPr>
              <w:tabs>
                <w:tab w:val="left" w:leader="none" w:pos="2490"/>
              </w:tabs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город, год – выравнивание по центру, шрифт обычный, размер 14 пт.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9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tabs>
                <w:tab w:val="left" w:leader="none" w:pos="2490"/>
              </w:tabs>
              <w:rPr/>
            </w:pPr>
            <w:r w:rsidDel="00000000" w:rsidR="00000000" w:rsidRPr="00000000">
              <w:rPr>
                <w:rtl w:val="0"/>
              </w:rPr>
              <w:t xml:space="preserve">Содержание</w:t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leader="none" w:pos="24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содержании последовательно располагаются заголовки всех элементов методического решения с указанием номера страницы. Содержание включает также перечень приложений.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9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tabs>
                <w:tab w:val="left" w:leader="none" w:pos="2490"/>
              </w:tabs>
              <w:rPr/>
            </w:pPr>
            <w:r w:rsidDel="00000000" w:rsidR="00000000" w:rsidRPr="00000000">
              <w:rPr>
                <w:rtl w:val="0"/>
              </w:rPr>
              <w:t xml:space="preserve">Пояснительная записка</w:t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leader="none" w:pos="24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Пояснительная записка должна содержать следующую информацию: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16"/>
              </w:numPr>
              <w:tabs>
                <w:tab w:val="left" w:leader="none" w:pos="2490"/>
              </w:tabs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целевой аудитории;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6"/>
              </w:numPr>
              <w:tabs>
                <w:tab w:val="left" w:leader="none" w:pos="2490"/>
              </w:tabs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определение цели и задач;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6"/>
              </w:numPr>
              <w:tabs>
                <w:tab w:val="left" w:leader="none" w:pos="2490"/>
              </w:tabs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краткое описание ожидаемого результата от использования данного методического решения.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9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tabs>
                <w:tab w:val="left" w:leader="none" w:pos="2490"/>
              </w:tabs>
              <w:rPr/>
            </w:pPr>
            <w:r w:rsidDel="00000000" w:rsidR="00000000" w:rsidRPr="00000000">
              <w:rPr>
                <w:rtl w:val="0"/>
              </w:rPr>
              <w:t xml:space="preserve">Основная часть</w:t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leader="none" w:pos="24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Основная часть должна быть посвящена решению поставленных задач и полностью раскрывать суть методического решения. Основная часть не имеет регламентированной структуры и может излагаться в достаточно произвольной форме. Её можно структурировать в следующей логике: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16"/>
              </w:numPr>
              <w:tabs>
                <w:tab w:val="left" w:leader="none" w:pos="2490"/>
              </w:tabs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описать (на основе состоявшегося опыта деятельности), что именно рекомендуется делать по исследуемому вопросу (поэтапно) и как (с помощью каких форм и методов);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6"/>
              </w:numPr>
              <w:tabs>
                <w:tab w:val="left" w:leader="none" w:pos="2490"/>
              </w:tabs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дать советы по решению организационных вопросов (разработка плана работы; определение этапов и сроков, распределение поручений и т.д.);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16"/>
              </w:numPr>
              <w:tabs>
                <w:tab w:val="left" w:leader="none" w:pos="2490"/>
              </w:tabs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вычленить наиболее трудные моменты в организации и проведении описываемого вида деятельности (исходя из имеющегося опыта);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16"/>
              </w:numPr>
              <w:tabs>
                <w:tab w:val="left" w:leader="none" w:pos="2490"/>
              </w:tabs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предостеречь от типичных ошибок. Описание методов, способов, приемов деятельности, ведущих к достижению желаемого результата деятельности; предложения и указания, способствующие внедрению их в практику.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9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tabs>
                <w:tab w:val="left" w:leader="none" w:pos="2490"/>
              </w:tabs>
              <w:rPr/>
            </w:pPr>
            <w:r w:rsidDel="00000000" w:rsidR="00000000" w:rsidRPr="00000000">
              <w:rPr>
                <w:rtl w:val="0"/>
              </w:rPr>
              <w:t xml:space="preserve">Заключение</w:t>
            </w:r>
          </w:p>
        </w:tc>
        <w:tc>
          <w:tcPr/>
          <w:p w:rsidR="00000000" w:rsidDel="00000000" w:rsidP="00000000" w:rsidRDefault="00000000" w:rsidRPr="00000000" w14:paraId="00000161">
            <w:pPr>
              <w:tabs>
                <w:tab w:val="left" w:leader="none" w:pos="24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заключении подводятся итоги по тем проблемным вопросам, которые ставились перед составлением методического решения; также в заключении можно отразить вопрос перспектив работы.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9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tabs>
                <w:tab w:val="left" w:leader="none" w:pos="2490"/>
              </w:tabs>
              <w:rPr/>
            </w:pPr>
            <w:r w:rsidDel="00000000" w:rsidR="00000000" w:rsidRPr="00000000">
              <w:rPr>
                <w:rtl w:val="0"/>
              </w:rPr>
              <w:t xml:space="preserve">Список использованных источников</w:t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leader="none" w:pos="24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списке использованных источников указываются все учебники и учебные пособия, стандарты и другие издания, ресурсы сети Интернет, которые были использованы при подготовке методического решения в алфавитном порядке.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9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tabs>
                <w:tab w:val="left" w:leader="none" w:pos="2490"/>
              </w:tabs>
              <w:rPr/>
            </w:pPr>
            <w:r w:rsidDel="00000000" w:rsidR="00000000" w:rsidRPr="00000000">
              <w:rPr>
                <w:rtl w:val="0"/>
              </w:rPr>
              <w:t xml:space="preserve">Приложения</w:t>
            </w:r>
          </w:p>
        </w:tc>
        <w:tc>
          <w:tcPr/>
          <w:p w:rsidR="00000000" w:rsidDel="00000000" w:rsidP="00000000" w:rsidRDefault="00000000" w:rsidRPr="00000000" w14:paraId="00000167">
            <w:pPr>
              <w:tabs>
                <w:tab w:val="left" w:leader="none" w:pos="249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Приложения пронумерованы и оформляются на отдельных листах.</w:t>
            </w:r>
          </w:p>
        </w:tc>
      </w:tr>
    </w:tbl>
    <w:p w:rsidR="00000000" w:rsidDel="00000000" w:rsidP="00000000" w:rsidRDefault="00000000" w:rsidRPr="00000000" w14:paraId="00000168">
      <w:pPr>
        <w:tabs>
          <w:tab w:val="left" w:leader="none" w:pos="2490"/>
        </w:tabs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tabs>
          <w:tab w:val="left" w:leader="none" w:pos="2490"/>
        </w:tabs>
        <w:jc w:val="center"/>
        <w:rPr/>
      </w:pPr>
      <w:r w:rsidDel="00000000" w:rsidR="00000000" w:rsidRPr="00000000">
        <w:rPr>
          <w:rtl w:val="0"/>
        </w:rPr>
        <w:t xml:space="preserve">Требования к оформлению методического решения</w:t>
      </w:r>
    </w:p>
    <w:p w:rsidR="00000000" w:rsidDel="00000000" w:rsidP="00000000" w:rsidRDefault="00000000" w:rsidRPr="00000000" w14:paraId="0000016A">
      <w:pPr>
        <w:tabs>
          <w:tab w:val="left" w:leader="none" w:pos="249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Формат файла – PDF.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Поля: верхнее – 2 см, нижнее – 2 см, левое – 3 см, правое – 1,5 см.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Шрифт – Times New Roman.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Нумерация страниц: выравнивание по центру, титульный лист без нумерации.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 текст:</w:t>
      </w:r>
    </w:p>
    <w:p w:rsidR="00000000" w:rsidDel="00000000" w:rsidP="00000000" w:rsidRDefault="00000000" w:rsidRPr="00000000" w14:paraId="00000170">
      <w:pPr>
        <w:numPr>
          <w:ilvl w:val="0"/>
          <w:numId w:val="16"/>
        </w:numPr>
        <w:tabs>
          <w:tab w:val="left" w:leader="none" w:pos="1134"/>
        </w:tabs>
        <w:ind w:left="0" w:firstLine="786"/>
        <w:jc w:val="both"/>
        <w:rPr/>
      </w:pPr>
      <w:r w:rsidDel="00000000" w:rsidR="00000000" w:rsidRPr="00000000">
        <w:rPr>
          <w:rtl w:val="0"/>
        </w:rPr>
        <w:t xml:space="preserve">размер шрифта – 14 пт.;</w:t>
      </w:r>
    </w:p>
    <w:p w:rsidR="00000000" w:rsidDel="00000000" w:rsidP="00000000" w:rsidRDefault="00000000" w:rsidRPr="00000000" w14:paraId="00000171">
      <w:pPr>
        <w:numPr>
          <w:ilvl w:val="0"/>
          <w:numId w:val="16"/>
        </w:numPr>
        <w:tabs>
          <w:tab w:val="left" w:leader="none" w:pos="1134"/>
        </w:tabs>
        <w:ind w:left="0" w:firstLine="786"/>
        <w:jc w:val="both"/>
        <w:rPr/>
      </w:pPr>
      <w:r w:rsidDel="00000000" w:rsidR="00000000" w:rsidRPr="00000000">
        <w:rPr>
          <w:rtl w:val="0"/>
        </w:rPr>
        <w:t xml:space="preserve">выравнивание абзаца по ширине;</w:t>
      </w:r>
    </w:p>
    <w:p w:rsidR="00000000" w:rsidDel="00000000" w:rsidP="00000000" w:rsidRDefault="00000000" w:rsidRPr="00000000" w14:paraId="00000172">
      <w:pPr>
        <w:numPr>
          <w:ilvl w:val="0"/>
          <w:numId w:val="16"/>
        </w:numPr>
        <w:tabs>
          <w:tab w:val="left" w:leader="none" w:pos="1134"/>
        </w:tabs>
        <w:ind w:left="0" w:firstLine="786"/>
        <w:jc w:val="both"/>
        <w:rPr/>
      </w:pPr>
      <w:r w:rsidDel="00000000" w:rsidR="00000000" w:rsidRPr="00000000">
        <w:rPr>
          <w:rtl w:val="0"/>
        </w:rPr>
        <w:t xml:space="preserve">междустрочный интервал – 1 (одинарный);</w:t>
      </w:r>
    </w:p>
    <w:p w:rsidR="00000000" w:rsidDel="00000000" w:rsidP="00000000" w:rsidRDefault="00000000" w:rsidRPr="00000000" w14:paraId="00000173">
      <w:pPr>
        <w:numPr>
          <w:ilvl w:val="0"/>
          <w:numId w:val="16"/>
        </w:numPr>
        <w:tabs>
          <w:tab w:val="left" w:leader="none" w:pos="1134"/>
        </w:tabs>
        <w:ind w:left="0" w:firstLine="786"/>
        <w:jc w:val="both"/>
        <w:rPr/>
      </w:pPr>
      <w:r w:rsidDel="00000000" w:rsidR="00000000" w:rsidRPr="00000000">
        <w:rPr>
          <w:rtl w:val="0"/>
        </w:rPr>
        <w:t xml:space="preserve">абзацный отступ одинаковый по всему тексту – 1,25 см.;</w:t>
      </w:r>
    </w:p>
    <w:p w:rsidR="00000000" w:rsidDel="00000000" w:rsidP="00000000" w:rsidRDefault="00000000" w:rsidRPr="00000000" w14:paraId="00000174">
      <w:pPr>
        <w:numPr>
          <w:ilvl w:val="0"/>
          <w:numId w:val="16"/>
        </w:numPr>
        <w:tabs>
          <w:tab w:val="left" w:leader="none" w:pos="1134"/>
        </w:tabs>
        <w:ind w:left="0" w:firstLine="786"/>
        <w:jc w:val="both"/>
        <w:rPr/>
      </w:pPr>
      <w:r w:rsidDel="00000000" w:rsidR="00000000" w:rsidRPr="00000000">
        <w:rPr>
          <w:rtl w:val="0"/>
        </w:rPr>
        <w:t xml:space="preserve">текст без переносов;</w:t>
      </w:r>
    </w:p>
    <w:p w:rsidR="00000000" w:rsidDel="00000000" w:rsidP="00000000" w:rsidRDefault="00000000" w:rsidRPr="00000000" w14:paraId="00000175">
      <w:pPr>
        <w:numPr>
          <w:ilvl w:val="0"/>
          <w:numId w:val="16"/>
        </w:numPr>
        <w:tabs>
          <w:tab w:val="left" w:leader="none" w:pos="1134"/>
        </w:tabs>
        <w:ind w:left="0" w:firstLine="786"/>
        <w:jc w:val="both"/>
        <w:rPr/>
      </w:pPr>
      <w:r w:rsidDel="00000000" w:rsidR="00000000" w:rsidRPr="00000000">
        <w:rPr>
          <w:rtl w:val="0"/>
        </w:rPr>
        <w:t xml:space="preserve">таблицы и схемы имеют заголовки сверху, выравнивание по правому краю;</w:t>
      </w:r>
    </w:p>
    <w:p w:rsidR="00000000" w:rsidDel="00000000" w:rsidP="00000000" w:rsidRDefault="00000000" w:rsidRPr="00000000" w14:paraId="00000176">
      <w:pPr>
        <w:numPr>
          <w:ilvl w:val="0"/>
          <w:numId w:val="16"/>
        </w:numPr>
        <w:tabs>
          <w:tab w:val="left" w:leader="none" w:pos="1134"/>
        </w:tabs>
        <w:ind w:left="0" w:firstLine="786"/>
        <w:jc w:val="both"/>
        <w:rPr/>
      </w:pPr>
      <w:r w:rsidDel="00000000" w:rsidR="00000000" w:rsidRPr="00000000">
        <w:rPr>
          <w:rtl w:val="0"/>
        </w:rPr>
        <w:t xml:space="preserve">изображения (фотографии, рисунки, скриншоты и др.) имеют подпись снизу, выравнивание по центру;</w:t>
      </w:r>
    </w:p>
    <w:p w:rsidR="00000000" w:rsidDel="00000000" w:rsidP="00000000" w:rsidRDefault="00000000" w:rsidRPr="00000000" w14:paraId="00000177">
      <w:pPr>
        <w:numPr>
          <w:ilvl w:val="0"/>
          <w:numId w:val="16"/>
        </w:numPr>
        <w:tabs>
          <w:tab w:val="left" w:leader="none" w:pos="1134"/>
        </w:tabs>
        <w:ind w:left="0" w:firstLine="786"/>
        <w:jc w:val="both"/>
        <w:rPr/>
      </w:pPr>
      <w:r w:rsidDel="00000000" w:rsidR="00000000" w:rsidRPr="00000000">
        <w:rPr>
          <w:rtl w:val="0"/>
        </w:rPr>
        <w:t xml:space="preserve">таблицы, схемы, изображения оформлены четко и воспроизводимы.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раздел начинается с новой страницы.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Приложения пронумерованы.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Библиографический список оформляется в соответствии с ГОСТ 7.1-2003.</w:t>
      </w:r>
    </w:p>
    <w:p w:rsidR="00000000" w:rsidDel="00000000" w:rsidP="00000000" w:rsidRDefault="00000000" w:rsidRPr="00000000" w14:paraId="0000017B">
      <w:pPr>
        <w:tabs>
          <w:tab w:val="left" w:leader="none" w:pos="2490"/>
        </w:tabs>
        <w:ind w:firstLine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jc w:val="righ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709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5.%2."/>
      <w:lvlJc w:val="left"/>
      <w:pPr>
        <w:ind w:left="6107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5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7.%2.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/>
    </w:lvl>
    <w:lvl w:ilvl="3">
      <w:start w:val="1"/>
      <w:numFmt w:val="decimal"/>
      <w:lvlText w:val="%1.%2.%3.%4."/>
      <w:lvlJc w:val="left"/>
      <w:pPr>
        <w:ind w:left="3927" w:hanging="720"/>
      </w:pPr>
      <w:rPr/>
    </w:lvl>
    <w:lvl w:ilvl="4">
      <w:start w:val="1"/>
      <w:numFmt w:val="decimal"/>
      <w:lvlText w:val="%1.%2.%3.%4.%5."/>
      <w:lvlJc w:val="left"/>
      <w:pPr>
        <w:ind w:left="5356" w:hanging="1080"/>
      </w:pPr>
      <w:rPr/>
    </w:lvl>
    <w:lvl w:ilvl="5">
      <w:start w:val="1"/>
      <w:numFmt w:val="decimal"/>
      <w:lvlText w:val="%1.%2.%3.%4.%5.%6."/>
      <w:lvlJc w:val="left"/>
      <w:pPr>
        <w:ind w:left="6425" w:hanging="1080"/>
      </w:pPr>
      <w:rPr/>
    </w:lvl>
    <w:lvl w:ilvl="6">
      <w:start w:val="1"/>
      <w:numFmt w:val="decimal"/>
      <w:lvlText w:val="%1.%2.%3.%4.%5.%6.%7."/>
      <w:lvlJc w:val="left"/>
      <w:pPr>
        <w:ind w:left="7854" w:hanging="1440"/>
      </w:pPr>
      <w:rPr/>
    </w:lvl>
    <w:lvl w:ilvl="7">
      <w:start w:val="1"/>
      <w:numFmt w:val="decimal"/>
      <w:lvlText w:val="%1.%2.%3.%4.%5.%6.%7.%8."/>
      <w:lvlJc w:val="left"/>
      <w:pPr>
        <w:ind w:left="8923" w:hanging="1440"/>
      </w:pPr>
      <w:rPr/>
    </w:lvl>
    <w:lvl w:ilvl="8">
      <w:start w:val="1"/>
      <w:numFmt w:val="decimal"/>
      <w:lvlText w:val="%1.%2.%3.%4.%5.%6.%7.%8.%9."/>
      <w:lvlJc w:val="left"/>
      <w:pPr>
        <w:ind w:left="10352" w:hanging="180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6.%2."/>
      <w:lvlJc w:val="left"/>
      <w:pPr>
        <w:ind w:left="644" w:hanging="359.99999999999994"/>
      </w:pPr>
      <w:rPr/>
    </w:lvl>
    <w:lvl w:ilvl="2">
      <w:start w:val="1"/>
      <w:numFmt w:val="decimal"/>
      <w:lvlText w:val="%1.%2.%3."/>
      <w:lvlJc w:val="left"/>
      <w:pPr>
        <w:ind w:left="2880" w:hanging="720"/>
      </w:pPr>
      <w:rPr/>
    </w:lvl>
    <w:lvl w:ilvl="3">
      <w:start w:val="1"/>
      <w:numFmt w:val="decimal"/>
      <w:lvlText w:val="%1.%2.%3.%4."/>
      <w:lvlJc w:val="left"/>
      <w:pPr>
        <w:ind w:left="3960" w:hanging="720"/>
      </w:pPr>
      <w:rPr/>
    </w:lvl>
    <w:lvl w:ilvl="4">
      <w:start w:val="1"/>
      <w:numFmt w:val="decimal"/>
      <w:lvlText w:val="%1.%2.%3.%4.%5."/>
      <w:lvlJc w:val="left"/>
      <w:pPr>
        <w:ind w:left="5400" w:hanging="1080"/>
      </w:pPr>
      <w:rPr/>
    </w:lvl>
    <w:lvl w:ilvl="5">
      <w:start w:val="1"/>
      <w:numFmt w:val="decimal"/>
      <w:lvlText w:val="%1.%2.%3.%4.%5.%6."/>
      <w:lvlJc w:val="left"/>
      <w:pPr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ind w:left="10440" w:hanging="180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4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8.%2."/>
      <w:lvlJc w:val="left"/>
      <w:pPr>
        <w:ind w:left="1070" w:hanging="360"/>
      </w:pPr>
      <w:rPr>
        <w:rFonts w:ascii="Times New Roman" w:cs="Times New Roman" w:eastAsia="Times New Roman" w:hAnsi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/>
    </w:lvl>
    <w:lvl w:ilvl="3">
      <w:start w:val="1"/>
      <w:numFmt w:val="decimal"/>
      <w:lvlText w:val="%1.%2.%3.%4."/>
      <w:lvlJc w:val="left"/>
      <w:pPr>
        <w:ind w:left="3927" w:hanging="720"/>
      </w:pPr>
      <w:rPr/>
    </w:lvl>
    <w:lvl w:ilvl="4">
      <w:start w:val="1"/>
      <w:numFmt w:val="decimal"/>
      <w:lvlText w:val="%1.%2.%3.%4.%5."/>
      <w:lvlJc w:val="left"/>
      <w:pPr>
        <w:ind w:left="5356" w:hanging="1080"/>
      </w:pPr>
      <w:rPr/>
    </w:lvl>
    <w:lvl w:ilvl="5">
      <w:start w:val="1"/>
      <w:numFmt w:val="decimal"/>
      <w:lvlText w:val="%1.%2.%3.%4.%5.%6."/>
      <w:lvlJc w:val="left"/>
      <w:pPr>
        <w:ind w:left="6425" w:hanging="1080"/>
      </w:pPr>
      <w:rPr/>
    </w:lvl>
    <w:lvl w:ilvl="6">
      <w:start w:val="1"/>
      <w:numFmt w:val="decimal"/>
      <w:lvlText w:val="%1.%2.%3.%4.%5.%6.%7."/>
      <w:lvlJc w:val="left"/>
      <w:pPr>
        <w:ind w:left="7854" w:hanging="1440"/>
      </w:pPr>
      <w:rPr/>
    </w:lvl>
    <w:lvl w:ilvl="7">
      <w:start w:val="1"/>
      <w:numFmt w:val="decimal"/>
      <w:lvlText w:val="%1.%2.%3.%4.%5.%6.%7.%8."/>
      <w:lvlJc w:val="left"/>
      <w:pPr>
        <w:ind w:left="8923" w:hanging="1440"/>
      </w:pPr>
      <w:rPr/>
    </w:lvl>
    <w:lvl w:ilvl="8">
      <w:start w:val="1"/>
      <w:numFmt w:val="decimal"/>
      <w:lvlText w:val="%1.%2.%3.%4.%5.%6.%7.%8.%9."/>
      <w:lvlJc w:val="left"/>
      <w:pPr>
        <w:ind w:left="10352" w:hanging="180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3"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1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1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89" w:lineRule="auto"/>
      <w:ind w:left="1656" w:right="1654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color w:val="000000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icei-nv@yandex.ru" TargetMode="External"/><Relationship Id="rId10" Type="http://schemas.openxmlformats.org/officeDocument/2006/relationships/hyperlink" Target="https://lyseum-nv.gosuslugi.ru/" TargetMode="External"/><Relationship Id="rId13" Type="http://schemas.openxmlformats.org/officeDocument/2006/relationships/hyperlink" Target="https://lyseum-nv.gosuslugi.ru/" TargetMode="External"/><Relationship Id="rId12" Type="http://schemas.openxmlformats.org/officeDocument/2006/relationships/hyperlink" Target="https://lyseum-nv.gosuslugi.ru/" TargetMode="External"/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czejliczejnizhnevartovsk-r86.gosweb.gosuslugi.ru/pedagogam-i-sotrudnikam/forsayt-tsentr-tsifrovaya-transformatsiya-obrazovaniya" TargetMode="External"/><Relationship Id="rId15" Type="http://schemas.openxmlformats.org/officeDocument/2006/relationships/hyperlink" Target="https://lyseum-nv.gosuslugi.ru/" TargetMode="External"/><Relationship Id="rId14" Type="http://schemas.openxmlformats.org/officeDocument/2006/relationships/hyperlink" Target="https://edu-nv.ru/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yperlink" Target="mailto:licei-n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